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BFB54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1DB59ADD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5B02BF7D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137908E3" w14:textId="77777777" w:rsidR="004A6996" w:rsidRPr="00EE7B92" w:rsidRDefault="00607F84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  <w:r w:rsidRPr="00EE7B92">
        <w:rPr>
          <w:rFonts w:asciiTheme="minorEastAsia" w:hAnsiTheme="minorEastAsia" w:hint="eastAsia"/>
          <w:b/>
          <w:sz w:val="36"/>
          <w:szCs w:val="28"/>
          <w:lang w:val="en-US" w:eastAsia="zh-CN"/>
        </w:rPr>
        <w:t>瑞再企商保险有限公司</w:t>
      </w:r>
    </w:p>
    <w:p w14:paraId="2556A437" w14:textId="1ACA8E8D" w:rsidR="00607F84" w:rsidRDefault="00607F84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  <w:r w:rsidRPr="00EE7B92">
        <w:rPr>
          <w:rFonts w:asciiTheme="minorEastAsia" w:hAnsiTheme="minorEastAsia" w:hint="eastAsia"/>
          <w:b/>
          <w:sz w:val="36"/>
          <w:szCs w:val="28"/>
          <w:lang w:val="en-US" w:eastAsia="zh-CN"/>
        </w:rPr>
        <w:t>2</w:t>
      </w:r>
      <w:r w:rsidRPr="00EE7B92">
        <w:rPr>
          <w:rFonts w:asciiTheme="minorEastAsia" w:hAnsiTheme="minorEastAsia"/>
          <w:b/>
          <w:sz w:val="36"/>
          <w:szCs w:val="28"/>
          <w:lang w:val="en-US" w:eastAsia="zh-CN"/>
        </w:rPr>
        <w:t>01</w:t>
      </w:r>
      <w:r w:rsidR="000003A0">
        <w:rPr>
          <w:rFonts w:asciiTheme="minorEastAsia" w:hAnsiTheme="minorEastAsia"/>
          <w:b/>
          <w:sz w:val="36"/>
          <w:szCs w:val="28"/>
          <w:lang w:val="en-US" w:eastAsia="zh-CN"/>
        </w:rPr>
        <w:t>8</w:t>
      </w:r>
      <w:r w:rsidRPr="00EE7B92">
        <w:rPr>
          <w:rFonts w:asciiTheme="minorEastAsia" w:hAnsiTheme="minorEastAsia"/>
          <w:b/>
          <w:sz w:val="36"/>
          <w:szCs w:val="28"/>
          <w:lang w:val="en-US" w:eastAsia="zh-CN"/>
        </w:rPr>
        <w:t>年重大关联交易</w:t>
      </w:r>
      <w:r w:rsidRPr="00EE7B92">
        <w:rPr>
          <w:rFonts w:asciiTheme="minorEastAsia" w:hAnsiTheme="minorEastAsia" w:hint="eastAsia"/>
          <w:b/>
          <w:sz w:val="36"/>
          <w:szCs w:val="28"/>
          <w:lang w:val="en-US" w:eastAsia="zh-CN"/>
        </w:rPr>
        <w:t>披露</w:t>
      </w:r>
    </w:p>
    <w:p w14:paraId="07E68ADB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3269A1DE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19737EDE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7ED6CD7B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1195E8CA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3F103FA9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6D670BA9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2537475C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54B95CBA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66273046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0873CC11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5D686B76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09EF6C0E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411114ED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475C98A5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4658D5E5" w14:textId="77777777" w:rsidR="009B3AC0" w:rsidRDefault="009B3AC0" w:rsidP="00607F84">
      <w:pPr>
        <w:jc w:val="center"/>
        <w:rPr>
          <w:rFonts w:asciiTheme="minorEastAsia" w:hAnsiTheme="minorEastAsia"/>
          <w:b/>
          <w:sz w:val="36"/>
          <w:szCs w:val="28"/>
          <w:lang w:val="en-US" w:eastAsia="zh-CN"/>
        </w:rPr>
      </w:pPr>
    </w:p>
    <w:p w14:paraId="591297DE" w14:textId="77777777" w:rsidR="009B3AC0" w:rsidRPr="009B3AC0" w:rsidRDefault="009B3AC0" w:rsidP="00607F84">
      <w:pPr>
        <w:jc w:val="center"/>
        <w:rPr>
          <w:rFonts w:asciiTheme="minorEastAsia" w:hAnsiTheme="minorEastAsia"/>
          <w:sz w:val="36"/>
          <w:szCs w:val="28"/>
          <w:lang w:val="en-US" w:eastAsia="zh-CN"/>
        </w:rPr>
      </w:pPr>
      <w:r w:rsidRPr="009B3AC0">
        <w:rPr>
          <w:rFonts w:asciiTheme="minorEastAsia" w:hAnsiTheme="minorEastAsia" w:hint="eastAsia"/>
          <w:sz w:val="36"/>
          <w:szCs w:val="28"/>
          <w:lang w:val="en-US" w:eastAsia="zh-CN"/>
        </w:rPr>
        <w:t>披露人</w:t>
      </w:r>
      <w:r w:rsidRPr="009B3AC0">
        <w:rPr>
          <w:rFonts w:asciiTheme="minorEastAsia" w:hAnsiTheme="minorEastAsia"/>
          <w:sz w:val="36"/>
          <w:szCs w:val="28"/>
          <w:lang w:val="en-US" w:eastAsia="zh-CN"/>
        </w:rPr>
        <w:t>：瑞再企商保险有限公司</w:t>
      </w:r>
    </w:p>
    <w:p w14:paraId="39590C25" w14:textId="1B0D504F" w:rsidR="009B3AC0" w:rsidRPr="009B3AC0" w:rsidRDefault="009B3AC0" w:rsidP="00607F84">
      <w:pPr>
        <w:jc w:val="center"/>
        <w:rPr>
          <w:rFonts w:asciiTheme="minorEastAsia" w:hAnsiTheme="minorEastAsia"/>
          <w:sz w:val="36"/>
          <w:szCs w:val="28"/>
          <w:lang w:val="en-US" w:eastAsia="zh-CN"/>
        </w:rPr>
      </w:pPr>
      <w:r w:rsidRPr="009B3AC0">
        <w:rPr>
          <w:rFonts w:asciiTheme="minorEastAsia" w:hAnsiTheme="minorEastAsia" w:hint="eastAsia"/>
          <w:sz w:val="36"/>
          <w:szCs w:val="28"/>
          <w:lang w:val="en-US" w:eastAsia="zh-CN"/>
        </w:rPr>
        <w:t>披露时间</w:t>
      </w:r>
      <w:r w:rsidRPr="009B3AC0">
        <w:rPr>
          <w:rFonts w:asciiTheme="minorEastAsia" w:hAnsiTheme="minorEastAsia"/>
          <w:sz w:val="36"/>
          <w:szCs w:val="28"/>
          <w:lang w:val="en-US" w:eastAsia="zh-CN"/>
        </w:rPr>
        <w:t>：</w:t>
      </w:r>
      <w:r w:rsidRPr="00E14A3B">
        <w:rPr>
          <w:rFonts w:asciiTheme="minorEastAsia" w:hAnsiTheme="minorEastAsia" w:hint="eastAsia"/>
          <w:sz w:val="36"/>
          <w:szCs w:val="28"/>
          <w:lang w:val="en-US" w:eastAsia="zh-CN"/>
        </w:rPr>
        <w:t>2</w:t>
      </w:r>
      <w:r w:rsidR="0045235E">
        <w:rPr>
          <w:rFonts w:asciiTheme="minorEastAsia" w:hAnsiTheme="minorEastAsia"/>
          <w:sz w:val="36"/>
          <w:szCs w:val="28"/>
          <w:lang w:val="en-US" w:eastAsia="zh-CN"/>
        </w:rPr>
        <w:t>018</w:t>
      </w:r>
      <w:r w:rsidRPr="00E14A3B">
        <w:rPr>
          <w:rFonts w:asciiTheme="minorEastAsia" w:hAnsiTheme="minorEastAsia"/>
          <w:sz w:val="36"/>
          <w:szCs w:val="28"/>
          <w:lang w:val="en-US" w:eastAsia="zh-CN"/>
        </w:rPr>
        <w:t>年</w:t>
      </w:r>
      <w:r w:rsidR="00D013E6">
        <w:rPr>
          <w:rFonts w:asciiTheme="minorEastAsia" w:hAnsiTheme="minorEastAsia"/>
          <w:sz w:val="36"/>
          <w:szCs w:val="28"/>
          <w:lang w:val="en-US" w:eastAsia="zh-CN"/>
        </w:rPr>
        <w:t>12</w:t>
      </w:r>
      <w:r w:rsidRPr="00E14A3B">
        <w:rPr>
          <w:rFonts w:asciiTheme="minorEastAsia" w:hAnsiTheme="minorEastAsia"/>
          <w:sz w:val="36"/>
          <w:szCs w:val="28"/>
          <w:lang w:val="en-US" w:eastAsia="zh-CN"/>
        </w:rPr>
        <w:t>月</w:t>
      </w:r>
      <w:r w:rsidR="001613FB">
        <w:rPr>
          <w:rFonts w:asciiTheme="minorEastAsia" w:hAnsiTheme="minorEastAsia"/>
          <w:sz w:val="36"/>
          <w:szCs w:val="28"/>
          <w:lang w:val="en-US" w:eastAsia="zh-CN"/>
        </w:rPr>
        <w:t>25</w:t>
      </w:r>
      <w:r w:rsidRPr="00E14A3B">
        <w:rPr>
          <w:rFonts w:asciiTheme="minorEastAsia" w:hAnsiTheme="minorEastAsia"/>
          <w:sz w:val="36"/>
          <w:szCs w:val="28"/>
          <w:lang w:val="en-US" w:eastAsia="zh-CN"/>
        </w:rPr>
        <w:t>日</w:t>
      </w:r>
    </w:p>
    <w:p w14:paraId="2833C1E2" w14:textId="77777777" w:rsidR="009B3AC0" w:rsidRDefault="009B3AC0">
      <w:pPr>
        <w:rPr>
          <w:rFonts w:asciiTheme="minorEastAsia" w:hAnsiTheme="minorEastAsia"/>
          <w:b/>
          <w:sz w:val="36"/>
          <w:szCs w:val="28"/>
          <w:lang w:val="en-US" w:eastAsia="zh-CN"/>
        </w:rPr>
      </w:pPr>
      <w:r>
        <w:rPr>
          <w:rFonts w:asciiTheme="minorEastAsia" w:hAnsiTheme="minorEastAsia"/>
          <w:b/>
          <w:sz w:val="36"/>
          <w:szCs w:val="28"/>
          <w:lang w:val="en-US" w:eastAsia="zh-CN"/>
        </w:rPr>
        <w:br w:type="page"/>
      </w:r>
    </w:p>
    <w:p w14:paraId="64A1B7CB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sz w:val="28"/>
          <w:szCs w:val="28"/>
          <w:lang w:val="en-US" w:eastAsia="zh-CN"/>
        </w:rPr>
        <w:lastRenderedPageBreak/>
        <w:t>根据</w:t>
      </w:r>
      <w:r w:rsidRPr="00EE7B92">
        <w:rPr>
          <w:rFonts w:asciiTheme="minorEastAsia" w:hAnsiTheme="minorEastAsia"/>
          <w:sz w:val="28"/>
          <w:szCs w:val="28"/>
          <w:lang w:val="en-US" w:eastAsia="zh-CN"/>
        </w:rPr>
        <w:t>保监发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[20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16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]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52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号《中国保监会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关于进一步加强保险公司关联交易信息披露工作有关问题的通知》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，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现对我公司重大关联交易情况进行报告和披露。</w:t>
      </w:r>
    </w:p>
    <w:p w14:paraId="2B14C588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56EAC3A1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一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、关联交易概述及交易标的的基本情况</w:t>
      </w:r>
    </w:p>
    <w:p w14:paraId="075FCD6F" w14:textId="7FFFE624" w:rsidR="00607F84" w:rsidRPr="00EE7B92" w:rsidRDefault="00BE2779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Swiss Re Corporate Solutions Ltd是</w:t>
      </w:r>
      <w:r w:rsidR="00607F84"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瑞再企商保险</w:t>
      </w:r>
      <w:r w:rsidR="00607F84"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有限公司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的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股东的股东，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双方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构成关联方。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双方于2</w:t>
      </w:r>
      <w:r w:rsidR="00A170B1">
        <w:rPr>
          <w:rFonts w:asciiTheme="minorEastAsia" w:hAnsiTheme="minorEastAsia"/>
          <w:color w:val="000000"/>
          <w:sz w:val="28"/>
          <w:szCs w:val="28"/>
          <w:lang w:eastAsia="zh-CN"/>
        </w:rPr>
        <w:t>018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年</w:t>
      </w:r>
      <w:r w:rsidR="007255F7">
        <w:rPr>
          <w:rFonts w:asciiTheme="minorEastAsia" w:hAnsiTheme="minorEastAsia"/>
          <w:color w:val="000000"/>
          <w:sz w:val="28"/>
          <w:szCs w:val="28"/>
          <w:lang w:eastAsia="zh-CN"/>
        </w:rPr>
        <w:t>12</w:t>
      </w:r>
      <w:r w:rsidRPr="000003A0">
        <w:rPr>
          <w:rFonts w:asciiTheme="minorEastAsia" w:hAnsiTheme="minorEastAsia"/>
          <w:color w:val="000000"/>
          <w:sz w:val="28"/>
          <w:szCs w:val="28"/>
          <w:lang w:eastAsia="zh-CN"/>
        </w:rPr>
        <w:t>月</w:t>
      </w:r>
      <w:r w:rsidR="00EE7B92"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签署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了</w:t>
      </w:r>
      <w:r w:rsidR="007255F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一份投资咨询协议</w:t>
      </w:r>
      <w:r w:rsidR="00EE7B92"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。</w:t>
      </w:r>
    </w:p>
    <w:p w14:paraId="0158DBEB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48F96983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二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、交易对手情况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9"/>
        <w:gridCol w:w="4911"/>
      </w:tblGrid>
      <w:tr w:rsidR="00EE7B92" w:rsidRPr="00EE7B92" w14:paraId="76D4A4D8" w14:textId="77777777" w:rsidTr="009702F1">
        <w:trPr>
          <w:trHeight w:val="329"/>
        </w:trPr>
        <w:tc>
          <w:tcPr>
            <w:tcW w:w="4915" w:type="dxa"/>
          </w:tcPr>
          <w:p w14:paraId="2351A7B3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关联法人名称</w:t>
            </w:r>
          </w:p>
        </w:tc>
        <w:tc>
          <w:tcPr>
            <w:tcW w:w="4915" w:type="dxa"/>
          </w:tcPr>
          <w:p w14:paraId="0E9B4C8E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Swiss Re Corporate Solutions Ltd</w:t>
            </w:r>
          </w:p>
        </w:tc>
      </w:tr>
      <w:tr w:rsidR="00EE7B92" w:rsidRPr="00EE7B92" w14:paraId="5F6813F6" w14:textId="77777777" w:rsidTr="00EE7B92">
        <w:tc>
          <w:tcPr>
            <w:tcW w:w="4915" w:type="dxa"/>
          </w:tcPr>
          <w:p w14:paraId="56C4FAB0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企业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4915" w:type="dxa"/>
          </w:tcPr>
          <w:p w14:paraId="5DD21477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注册在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瑞士的财产保险公司</w:t>
            </w:r>
          </w:p>
        </w:tc>
      </w:tr>
      <w:tr w:rsidR="00EE7B92" w:rsidRPr="00EE7B92" w14:paraId="40CE93F7" w14:textId="77777777" w:rsidTr="00EE7B92">
        <w:tc>
          <w:tcPr>
            <w:tcW w:w="4915" w:type="dxa"/>
          </w:tcPr>
          <w:p w14:paraId="36D2B270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经营范围</w:t>
            </w:r>
          </w:p>
        </w:tc>
        <w:tc>
          <w:tcPr>
            <w:tcW w:w="4915" w:type="dxa"/>
          </w:tcPr>
          <w:p w14:paraId="4C144602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财产保险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及其再保险业务</w:t>
            </w:r>
          </w:p>
        </w:tc>
      </w:tr>
      <w:tr w:rsidR="00EE7B92" w:rsidRPr="00EE7B92" w14:paraId="2367E8D0" w14:textId="77777777" w:rsidTr="00EE7B92">
        <w:tc>
          <w:tcPr>
            <w:tcW w:w="4915" w:type="dxa"/>
          </w:tcPr>
          <w:p w14:paraId="500F5162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注册资本</w:t>
            </w:r>
          </w:p>
        </w:tc>
        <w:tc>
          <w:tcPr>
            <w:tcW w:w="4915" w:type="dxa"/>
          </w:tcPr>
          <w:p w14:paraId="76B1F098" w14:textId="3088FC11" w:rsidR="00EE7B92" w:rsidRPr="00EE7B92" w:rsidRDefault="009702F1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780A38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美金 98,412,605</w:t>
            </w:r>
          </w:p>
        </w:tc>
      </w:tr>
      <w:tr w:rsidR="00EE7B92" w:rsidRPr="00EE7B92" w14:paraId="3B64592C" w14:textId="77777777" w:rsidTr="00EE7B92">
        <w:tc>
          <w:tcPr>
            <w:tcW w:w="4915" w:type="dxa"/>
          </w:tcPr>
          <w:p w14:paraId="645B351F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关联关系</w:t>
            </w:r>
          </w:p>
        </w:tc>
        <w:tc>
          <w:tcPr>
            <w:tcW w:w="4915" w:type="dxa"/>
          </w:tcPr>
          <w:p w14:paraId="1A11E3FE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为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我司股东的股东</w:t>
            </w:r>
          </w:p>
        </w:tc>
      </w:tr>
      <w:tr w:rsidR="00EE7B92" w:rsidRPr="00EE7B92" w14:paraId="744F93AC" w14:textId="77777777" w:rsidTr="00EE7B92">
        <w:tc>
          <w:tcPr>
            <w:tcW w:w="4915" w:type="dxa"/>
          </w:tcPr>
          <w:p w14:paraId="13BDB4EB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统一社会</w:t>
            </w:r>
            <w:r w:rsidRPr="00EE7B92"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  <w:t>信用代码</w:t>
            </w:r>
          </w:p>
        </w:tc>
        <w:tc>
          <w:tcPr>
            <w:tcW w:w="4915" w:type="dxa"/>
          </w:tcPr>
          <w:p w14:paraId="6FD25D3B" w14:textId="77777777" w:rsidR="00EE7B92" w:rsidRPr="00EE7B92" w:rsidRDefault="00EE7B92" w:rsidP="00EE7B92">
            <w:pPr>
              <w:rPr>
                <w:rFonts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 w:rsidRPr="00EE7B92">
              <w:rPr>
                <w:rFonts w:asciiTheme="minorEastAsia" w:hAnsiTheme="minorEastAsia" w:hint="eastAsia"/>
                <w:color w:val="000000"/>
                <w:sz w:val="28"/>
                <w:szCs w:val="28"/>
                <w:lang w:eastAsia="zh-CN"/>
              </w:rPr>
              <w:t>不适用</w:t>
            </w:r>
          </w:p>
        </w:tc>
      </w:tr>
    </w:tbl>
    <w:p w14:paraId="74FF3495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7D91375B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三、关联交易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的主要内容和定价政策</w:t>
      </w:r>
    </w:p>
    <w:p w14:paraId="47058862" w14:textId="3EDF1954" w:rsidR="00607F84" w:rsidRPr="00780A38" w:rsidRDefault="0090434D" w:rsidP="0090434D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根据双方签订的</w:t>
      </w:r>
      <w:r w:rsidR="002B126F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投资咨询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协议，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Swiss Re Corporate Solutions Ltd</w:t>
      </w:r>
      <w:r w:rsidRPr="0090434D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将在遵循有关法律法规以及本公司投资指引的前提下,</w:t>
      </w:r>
      <w:r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根据本公司的要求，</w:t>
      </w:r>
      <w:r w:rsidR="002B126F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提供投资辅助信息及投资咨询服务。</w:t>
      </w:r>
      <w:r w:rsidR="00EB110E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该投资咨询协议将于2019年1月1日生效，</w:t>
      </w:r>
      <w:bookmarkStart w:id="0" w:name="_GoBack"/>
      <w:bookmarkEnd w:id="0"/>
      <w:r w:rsidR="00EB110E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协议期间为三年。</w:t>
      </w:r>
      <w:r w:rsidR="00607F84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根据瑞再集团内部</w:t>
      </w:r>
      <w:r w:rsidR="00EB110E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投资相关服务</w:t>
      </w:r>
      <w:r w:rsidR="00607F84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的定价指引准则，采用</w:t>
      </w:r>
      <w:r w:rsidR="002B126F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成本加成</w:t>
      </w:r>
      <w:r w:rsidR="00607F84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的</w:t>
      </w:r>
      <w:r w:rsidR="00EB110E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服务计价</w:t>
      </w:r>
      <w:r w:rsidR="00607F84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方式，</w:t>
      </w:r>
      <w:r w:rsidR="002B126F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在实际发生的服务成本基础上增加5%的</w:t>
      </w:r>
      <w:r w:rsidR="00011717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合理</w:t>
      </w:r>
      <w:r w:rsidR="002B126F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利润，</w:t>
      </w:r>
      <w:r w:rsidR="00607F84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确保符合市场</w:t>
      </w:r>
      <w:r w:rsidR="0018520F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化</w:t>
      </w:r>
      <w:r w:rsidR="00607F84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定价原则</w:t>
      </w:r>
      <w:r w:rsidR="0047384F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，并且不伤害公司或公司股东的利益</w:t>
      </w:r>
      <w:r w:rsidR="00607F84" w:rsidRPr="00780A38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。</w:t>
      </w:r>
    </w:p>
    <w:p w14:paraId="3A4DE7DA" w14:textId="59F92D7F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5D619997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044E20DB" w14:textId="77777777" w:rsidR="00607F84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lastRenderedPageBreak/>
        <w:t>四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、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本年度与该关联方已发生的关联交易累计金额</w:t>
      </w:r>
    </w:p>
    <w:p w14:paraId="5B8447AB" w14:textId="459BFFAB" w:rsidR="00646ED1" w:rsidRPr="00827CC0" w:rsidRDefault="00646ED1" w:rsidP="00827CC0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827CC0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截至</w:t>
      </w:r>
      <w:r w:rsidRPr="00827CC0">
        <w:rPr>
          <w:rFonts w:asciiTheme="minorEastAsia" w:hAnsiTheme="minorEastAsia"/>
          <w:color w:val="000000"/>
          <w:sz w:val="28"/>
          <w:szCs w:val="28"/>
          <w:lang w:eastAsia="zh-CN"/>
        </w:rPr>
        <w:t>2018年第三季度末，与该关联方累计已发生</w:t>
      </w:r>
      <w:r w:rsidRPr="00827CC0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的再保险业务</w:t>
      </w:r>
      <w:r w:rsidR="005D5269" w:rsidRPr="005D5269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分出保费为人民币15,483.42万元，摊回分保费用为9,888.68万元</w:t>
      </w:r>
      <w:r w:rsidRPr="00827CC0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。</w:t>
      </w:r>
    </w:p>
    <w:p w14:paraId="444F33B8" w14:textId="48FA34FC" w:rsidR="00607F84" w:rsidRPr="00EE7B92" w:rsidRDefault="00BE2779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14A3B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截至</w:t>
      </w:r>
      <w:r w:rsidR="00A170B1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201</w:t>
      </w:r>
      <w:r w:rsidR="00EB110E">
        <w:rPr>
          <w:rFonts w:asciiTheme="minorEastAsia" w:hAnsiTheme="minorEastAsia"/>
          <w:color w:val="000000"/>
          <w:sz w:val="28"/>
          <w:szCs w:val="28"/>
          <w:lang w:eastAsia="zh-CN"/>
        </w:rPr>
        <w:t>8</w:t>
      </w:r>
      <w:r w:rsidR="00EB110E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年第三</w:t>
      </w:r>
      <w:r w:rsidRPr="00E14A3B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季度末，</w:t>
      </w:r>
      <w:r w:rsidR="00EB110E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尚未发生</w:t>
      </w:r>
      <w:r w:rsidRPr="00E14A3B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与该关联方</w:t>
      </w:r>
      <w:r w:rsidR="0090434D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的投资咨询交易</w:t>
      </w:r>
      <w:r w:rsidRPr="00E14A3B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。</w:t>
      </w:r>
    </w:p>
    <w:p w14:paraId="2D800298" w14:textId="77777777" w:rsidR="00EE7B92" w:rsidRPr="00EE7B92" w:rsidRDefault="00EE7B92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</w:p>
    <w:p w14:paraId="22F05883" w14:textId="77777777" w:rsidR="00607F84" w:rsidRPr="00EE7B92" w:rsidRDefault="00607F84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五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、</w:t>
      </w: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中国保监会认为需要披露的其他事项</w:t>
      </w:r>
    </w:p>
    <w:p w14:paraId="79806484" w14:textId="77777777" w:rsidR="00EE7B92" w:rsidRPr="00EE7B92" w:rsidRDefault="00EE7B92" w:rsidP="00EE7B92">
      <w:pPr>
        <w:spacing w:line="360" w:lineRule="auto"/>
        <w:ind w:firstLineChars="200" w:firstLine="560"/>
        <w:rPr>
          <w:rFonts w:asciiTheme="minorEastAsia" w:hAnsiTheme="minorEastAsia"/>
          <w:color w:val="000000"/>
          <w:sz w:val="28"/>
          <w:szCs w:val="28"/>
          <w:lang w:eastAsia="zh-CN"/>
        </w:rPr>
      </w:pPr>
      <w:r w:rsidRPr="00EE7B92">
        <w:rPr>
          <w:rFonts w:asciiTheme="minorEastAsia" w:hAnsiTheme="minorEastAsia" w:hint="eastAsia"/>
          <w:color w:val="000000"/>
          <w:sz w:val="28"/>
          <w:szCs w:val="28"/>
          <w:lang w:eastAsia="zh-CN"/>
        </w:rPr>
        <w:t>不适用</w:t>
      </w:r>
      <w:r w:rsidRPr="00EE7B92">
        <w:rPr>
          <w:rFonts w:asciiTheme="minorEastAsia" w:hAnsiTheme="minorEastAsia"/>
          <w:color w:val="000000"/>
          <w:sz w:val="28"/>
          <w:szCs w:val="28"/>
          <w:lang w:eastAsia="zh-CN"/>
        </w:rPr>
        <w:t>。</w:t>
      </w:r>
    </w:p>
    <w:sectPr w:rsidR="00EE7B92" w:rsidRPr="00EE7B92" w:rsidSect="00607F84">
      <w:headerReference w:type="default" r:id="rId12"/>
      <w:footerReference w:type="default" r:id="rId13"/>
      <w:headerReference w:type="first" r:id="rId14"/>
      <w:footerReference w:type="first" r:id="rId15"/>
      <w:pgSz w:w="12240" w:h="15840" w:code="9"/>
      <w:pgMar w:top="1985" w:right="822" w:bottom="1548" w:left="158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9ACFC" w14:textId="77777777" w:rsidR="002E2C63" w:rsidRDefault="002E2C63" w:rsidP="001A3632">
      <w:r>
        <w:separator/>
      </w:r>
    </w:p>
  </w:endnote>
  <w:endnote w:type="continuationSeparator" w:id="0">
    <w:p w14:paraId="487ECB1F" w14:textId="77777777" w:rsidR="002E2C63" w:rsidRDefault="002E2C63" w:rsidP="001A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wissReSans">
    <w:altName w:val="Arial"/>
    <w:panose1 w:val="020B0604020202020204"/>
    <w:charset w:val="00"/>
    <w:family w:val="swiss"/>
    <w:pitch w:val="variable"/>
    <w:sig w:usb0="800002AF" w:usb1="0000004A" w:usb2="00000000" w:usb3="00000000" w:csb0="0000001F" w:csb1="00000000"/>
    <w:embedRegular r:id="rId1" w:subsetted="1" w:fontKey="{61D7E156-0337-4652-A6C0-34E9CBC2CA7F}"/>
    <w:embedBold r:id="rId2" w:subsetted="1" w:fontKey="{BE71A3AB-6903-40EA-BDFD-AC9FD342A4E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ReSans Light">
    <w:panose1 w:val="020B0504020202020204"/>
    <w:charset w:val="00"/>
    <w:family w:val="swiss"/>
    <w:pitch w:val="variable"/>
    <w:sig w:usb0="800002AF" w:usb1="0000004A" w:usb2="00000000" w:usb3="00000000" w:csb0="0000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693"/>
      <w:gridCol w:w="2404"/>
      <w:gridCol w:w="733"/>
    </w:tblGrid>
    <w:tr w:rsidR="0054198C" w:rsidRPr="0058440C" w14:paraId="042C888D" w14:textId="77777777" w:rsidTr="00FB4DB9">
      <w:trPr>
        <w:cantSplit/>
        <w:trHeight w:val="20"/>
      </w:trPr>
      <w:tc>
        <w:tcPr>
          <w:tcW w:w="3404" w:type="pct"/>
          <w:vAlign w:val="bottom"/>
        </w:tcPr>
        <w:p w14:paraId="732D1E01" w14:textId="77777777" w:rsidR="0054198C" w:rsidRPr="0058440C" w:rsidRDefault="0054198C" w:rsidP="00FB4DB9"/>
      </w:tc>
      <w:tc>
        <w:tcPr>
          <w:tcW w:w="1223" w:type="pct"/>
          <w:vAlign w:val="bottom"/>
        </w:tcPr>
        <w:p w14:paraId="24E4F33E" w14:textId="77777777" w:rsidR="0054198C" w:rsidRPr="0058440C" w:rsidRDefault="0054198C" w:rsidP="00FB4DB9"/>
      </w:tc>
      <w:tc>
        <w:tcPr>
          <w:tcW w:w="373" w:type="pct"/>
          <w:vAlign w:val="bottom"/>
        </w:tcPr>
        <w:p w14:paraId="7E545422" w14:textId="77777777" w:rsidR="0054198C" w:rsidRPr="0058440C" w:rsidRDefault="00884BE6" w:rsidP="0054198C">
          <w:pPr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D5AA8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14:paraId="3B7F47CA" w14:textId="77777777" w:rsidR="00C90299" w:rsidRPr="0054198C" w:rsidRDefault="00C90299" w:rsidP="0054198C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6466"/>
      <w:gridCol w:w="3031"/>
    </w:tblGrid>
    <w:tr w:rsidR="00C90299" w:rsidRPr="00666ABD" w14:paraId="318F7CBD" w14:textId="77777777" w:rsidTr="00666ABD">
      <w:trPr>
        <w:cantSplit/>
        <w:trHeight w:val="20"/>
      </w:trPr>
      <w:tc>
        <w:tcPr>
          <w:tcW w:w="3404" w:type="pct"/>
          <w:vAlign w:val="bottom"/>
        </w:tcPr>
        <w:p w14:paraId="717D6471" w14:textId="77777777" w:rsidR="00C90299" w:rsidRPr="00666ABD" w:rsidRDefault="00C90299" w:rsidP="004B42C8">
          <w:pPr>
            <w:rPr>
              <w:sz w:val="12"/>
              <w:szCs w:val="12"/>
            </w:rPr>
          </w:pPr>
        </w:p>
      </w:tc>
      <w:tc>
        <w:tcPr>
          <w:tcW w:w="1596" w:type="pct"/>
          <w:vAlign w:val="bottom"/>
        </w:tcPr>
        <w:p w14:paraId="728348DF" w14:textId="77777777" w:rsidR="00C90299" w:rsidRPr="00666ABD" w:rsidRDefault="00C90299" w:rsidP="00666ABD">
          <w:pPr>
            <w:rPr>
              <w:rFonts w:cs="Times New Roman"/>
              <w:sz w:val="12"/>
              <w:szCs w:val="12"/>
            </w:rPr>
          </w:pPr>
        </w:p>
      </w:tc>
    </w:tr>
  </w:tbl>
  <w:p w14:paraId="68B11D86" w14:textId="77777777" w:rsidR="00C90299" w:rsidRPr="006D77FB" w:rsidRDefault="00C90299" w:rsidP="0092716E">
    <w:pPr>
      <w:pStyle w:val="Footer"/>
      <w:tabs>
        <w:tab w:val="clear" w:pos="4536"/>
        <w:tab w:val="clear" w:pos="9072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FD7B82" w14:textId="77777777" w:rsidR="002E2C63" w:rsidRDefault="002E2C63" w:rsidP="001A3632">
      <w:r>
        <w:separator/>
      </w:r>
    </w:p>
  </w:footnote>
  <w:footnote w:type="continuationSeparator" w:id="0">
    <w:p w14:paraId="6D1941B2" w14:textId="77777777" w:rsidR="002E2C63" w:rsidRDefault="002E2C63" w:rsidP="001A3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325" w:type="pct"/>
      <w:tblInd w:w="-62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34"/>
      <w:gridCol w:w="5235"/>
    </w:tblGrid>
    <w:tr w:rsidR="00607F84" w:rsidRPr="004D5E6F" w14:paraId="7DD1159D" w14:textId="77777777" w:rsidTr="008858E0">
      <w:trPr>
        <w:trHeight w:hRule="exact" w:val="964"/>
      </w:trPr>
      <w:sdt>
        <w:sdtPr>
          <w:tag w:val="Logo"/>
          <w:id w:val="-1559170337"/>
        </w:sdtPr>
        <w:sdtEndPr/>
        <w:sdtContent>
          <w:tc>
            <w:tcPr>
              <w:tcW w:w="2500" w:type="pct"/>
            </w:tcPr>
            <w:p w14:paraId="77C5FE55" w14:textId="77777777" w:rsidR="00607F84" w:rsidRPr="004D5E6F" w:rsidRDefault="00607F84" w:rsidP="00607F84">
              <w:pPr>
                <w:rPr>
                  <w:sz w:val="2"/>
                  <w:szCs w:val="2"/>
                </w:rPr>
              </w:pPr>
              <w:r>
                <w:rPr>
                  <w:noProof/>
                  <w:lang w:val="en-US" w:eastAsia="zh-CN"/>
                </w:rPr>
                <w:drawing>
                  <wp:inline distT="0" distB="0" distL="0" distR="0" wp14:anchorId="43F68D2E" wp14:editId="6492F24E">
                    <wp:extent cx="2223769" cy="500400"/>
                    <wp:effectExtent l="0" t="0" r="5715" b="0"/>
                    <wp:docPr id="4" name="Picture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223769" cy="5004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sdt>
        <w:sdtPr>
          <w:rPr>
            <w:b/>
            <w:color w:val="000000"/>
          </w:rPr>
          <w:alias w:val="Classification"/>
          <w:tag w:val="T_Classification"/>
          <w:id w:val="-861672497"/>
          <w:text/>
        </w:sdtPr>
        <w:sdtEndPr/>
        <w:sdtContent>
          <w:tc>
            <w:tcPr>
              <w:tcW w:w="2500" w:type="pct"/>
            </w:tcPr>
            <w:p w14:paraId="01BAFEE4" w14:textId="77777777" w:rsidR="00607F84" w:rsidRPr="005F0D59" w:rsidRDefault="00607F84" w:rsidP="008858E0">
              <w:pPr>
                <w:jc w:val="right"/>
                <w:rPr>
                  <w:b/>
                </w:rPr>
              </w:pPr>
              <w:r w:rsidRPr="005F0D59">
                <w:rPr>
                  <w:b/>
                  <w:color w:val="000000"/>
                </w:rPr>
                <w:t xml:space="preserve"> </w:t>
              </w:r>
            </w:p>
          </w:tc>
        </w:sdtContent>
      </w:sdt>
    </w:tr>
  </w:tbl>
  <w:p w14:paraId="59372F5B" w14:textId="77777777" w:rsidR="008D277A" w:rsidRPr="00607F84" w:rsidRDefault="008D277A" w:rsidP="00607F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943D" w14:textId="77777777" w:rsidR="00C90299" w:rsidRPr="00951F87" w:rsidRDefault="00884BE6" w:rsidP="00951F87">
    <w:pPr>
      <w:rPr>
        <w:sz w:val="2"/>
        <w:szCs w:val="2"/>
      </w:rPr>
    </w:pPr>
    <w:r>
      <w:rPr>
        <w:noProof/>
        <w:sz w:val="2"/>
        <w:szCs w:val="2"/>
        <w:lang w:val="en-US"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6676F2" wp14:editId="19EE0F3D">
              <wp:simplePos x="0" y="0"/>
              <wp:positionH relativeFrom="page">
                <wp:posOffset>252095</wp:posOffset>
              </wp:positionH>
              <wp:positionV relativeFrom="page">
                <wp:posOffset>3780790</wp:posOffset>
              </wp:positionV>
              <wp:extent cx="19050" cy="19050"/>
              <wp:effectExtent l="4445" t="8890" r="5080" b="635"/>
              <wp:wrapNone/>
              <wp:docPr id="1" name="FoldingMar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" cy="19050"/>
                      </a:xfrm>
                      <a:prstGeom prst="ellipse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4963BF1" id="FoldingMark" o:spid="_x0000_s1026" style="position:absolute;left:0;text-align:left;margin-left:19.85pt;margin-top:297.7pt;width:1.5pt;height: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VhwawIAAO4EAAAOAAAAZHJzL2Uyb0RvYy54bWysVM1u2zAMvg/YOwi6p7YDp62NOkV/lmFA&#10;uxXo9gCKJMdCZUmjlDjd0HcfJSddsl2KYT7IpEhR/PiRurjc9ppsJHhlTUOLk5wSabgVyqwa+u3r&#10;YnJOiQ/MCKatkQ19lp5ezt+/uxhcLae2s1pIIBjE+HpwDe1CcHWWed7JnvkT66RBY2uhZwFVWGUC&#10;2IDRe51N8/w0GywIB5ZL73H3djTSeYrftpKHL23rZSC6oZhbSCukdRnXbH7B6hUw1ym+S4P9QxY9&#10;UwYvfQ11ywIja1B/heoVB+ttG0647TPbtorLhAHRFPkfaB475mTCgsXx7rVM/v+F5Z83D0CUQO4o&#10;MaxHihbICZbynsFTLM/gfI1ej+4BIkDv7ix/8sTYm46ZlbwCsEMnmcCkiuifHR2IisejZDncW4HR&#10;2TrYVKltC30MiDUg20TI8yshchsIx82iymfIGkfLKMb4rN4fdeDDR2l7EoWGSq2V87FgrGabOx9G&#10;771Xyt5qJRZK66TAanmjgWxYbI70JQAI8tBNm+hsbDw2Rhx3MEm8I9piuonsn1UxLfPraTVZnJ6f&#10;TcpFOZtUZ/n5JC+q6+o0L6vydvESEyzKulNCSHOnjNw3XlG+jdjdCIwtk1qPDA2tZtNZwn6UvX8b&#10;SLBrIxAdqyOXH3ZyYEqPcnaccaIBYe//qRCJ+Uj22DRLK56ReLBIDZKIjwQKnYUflAw4cA3139cM&#10;JCX6k8HmqYqyjBOalHJ2NkUFDi3LQwszHEM1NFAyijdhnOq1A7Xq8KYi1cLYK2y4VqVeiM04ZrVr&#10;UxyqhGD3AMSpPdST1+9nav4LAAD//wMAUEsDBBQABgAIAAAAIQBeDNBs4AAAAAkBAAAPAAAAZHJz&#10;L2Rvd25yZXYueG1sTI/BTsMwDIbvSLxDZCRuLGW0bC1NJ4Q2IXFAYkxCu2WNabs1TpVkW3l7vBMc&#10;/fvT78/lYrS9OKEPnSMF95MEBFLtTEeNgs3n6m4OIkRNRveOUMEPBlhU11elLow70wee1rERXEKh&#10;0AraGIdCylC3aHWYuAGJd9/OWx159I00Xp+53PZymiSP0uqO+EKrB3xpsT6sj1aBX2avUR5Wy3T/&#10;vv/K3dvWbE2m1O3N+PwEIuIY/2C46LM6VOy0c0cyQfQKHvIZkwqyPEtBMJBOOdhdgnkKsirl/w+q&#10;XwAAAP//AwBQSwECLQAUAAYACAAAACEAtoM4kv4AAADhAQAAEwAAAAAAAAAAAAAAAAAAAAAAW0Nv&#10;bnRlbnRfVHlwZXNdLnhtbFBLAQItABQABgAIAAAAIQA4/SH/1gAAAJQBAAALAAAAAAAAAAAAAAAA&#10;AC8BAABfcmVscy8ucmVsc1BLAQItABQABgAIAAAAIQBi3VhwawIAAO4EAAAOAAAAAAAAAAAAAAAA&#10;AC4CAABkcnMvZTJvRG9jLnhtbFBLAQItABQABgAIAAAAIQBeDNBs4AAAAAkBAAAPAAAAAAAAAAAA&#10;AAAAAMUEAABkcnMvZG93bnJldi54bWxQSwUGAAAAAAQABADzAAAA0gUAAAAA&#10;" fillcolor="black" stroked="f">
              <w10:wrap anchorx="page" anchory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6CCA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347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D641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5A1A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4A95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4009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EEA1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A14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7C4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2B47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21723D2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  <w:rPr>
        <w:rFonts w:ascii="Berlin Sans FB" w:hAnsi="Berlin Sans FB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Berlin Sans FB" w:hAnsi="Berlin Sans FB"/>
        <w:b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Berlin Sans FB" w:hAnsi="Berlin Sans FB"/>
        <w:i/>
        <w:sz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Berlin Sans FB" w:hAnsi="Berlin Sans FB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attachedTemplate r:id="rId1"/>
  <w:styleLockTheme/>
  <w:styleLockQFSet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iwoEntityID#0" w:val="412"/>
  </w:docVars>
  <w:rsids>
    <w:rsidRoot w:val="00607F84"/>
    <w:rsid w:val="000002F5"/>
    <w:rsid w:val="000003A0"/>
    <w:rsid w:val="00011717"/>
    <w:rsid w:val="00015524"/>
    <w:rsid w:val="000213AD"/>
    <w:rsid w:val="00027CF3"/>
    <w:rsid w:val="00044EE1"/>
    <w:rsid w:val="00045D8E"/>
    <w:rsid w:val="00050E67"/>
    <w:rsid w:val="00077793"/>
    <w:rsid w:val="000A6A1A"/>
    <w:rsid w:val="000D4E0A"/>
    <w:rsid w:val="000D6B19"/>
    <w:rsid w:val="000E7DBB"/>
    <w:rsid w:val="001016EA"/>
    <w:rsid w:val="00112829"/>
    <w:rsid w:val="001274D9"/>
    <w:rsid w:val="001470B9"/>
    <w:rsid w:val="001508C1"/>
    <w:rsid w:val="001544B4"/>
    <w:rsid w:val="001545E1"/>
    <w:rsid w:val="00157C23"/>
    <w:rsid w:val="001613FB"/>
    <w:rsid w:val="0017387F"/>
    <w:rsid w:val="00173DFD"/>
    <w:rsid w:val="0018520F"/>
    <w:rsid w:val="001915FF"/>
    <w:rsid w:val="0019307D"/>
    <w:rsid w:val="001A137A"/>
    <w:rsid w:val="001A3632"/>
    <w:rsid w:val="001A788D"/>
    <w:rsid w:val="001B1938"/>
    <w:rsid w:val="001C0371"/>
    <w:rsid w:val="001E0EAC"/>
    <w:rsid w:val="002044D4"/>
    <w:rsid w:val="002104C6"/>
    <w:rsid w:val="00236DA1"/>
    <w:rsid w:val="00263A5B"/>
    <w:rsid w:val="0027137C"/>
    <w:rsid w:val="00286D34"/>
    <w:rsid w:val="00286D5C"/>
    <w:rsid w:val="00287B6D"/>
    <w:rsid w:val="002B126F"/>
    <w:rsid w:val="002B28C9"/>
    <w:rsid w:val="002C120D"/>
    <w:rsid w:val="002D1863"/>
    <w:rsid w:val="002D5D28"/>
    <w:rsid w:val="002E2C63"/>
    <w:rsid w:val="002E5235"/>
    <w:rsid w:val="002F06EF"/>
    <w:rsid w:val="002F1319"/>
    <w:rsid w:val="00310771"/>
    <w:rsid w:val="00320C2B"/>
    <w:rsid w:val="00324035"/>
    <w:rsid w:val="00331751"/>
    <w:rsid w:val="00333DB7"/>
    <w:rsid w:val="003523E2"/>
    <w:rsid w:val="003562CE"/>
    <w:rsid w:val="0036723A"/>
    <w:rsid w:val="00367675"/>
    <w:rsid w:val="00371591"/>
    <w:rsid w:val="003801EF"/>
    <w:rsid w:val="00391675"/>
    <w:rsid w:val="003A0F1D"/>
    <w:rsid w:val="003B2553"/>
    <w:rsid w:val="003B4354"/>
    <w:rsid w:val="003C716A"/>
    <w:rsid w:val="003C79B5"/>
    <w:rsid w:val="003D31C3"/>
    <w:rsid w:val="003F7EF6"/>
    <w:rsid w:val="00401DCD"/>
    <w:rsid w:val="0041397C"/>
    <w:rsid w:val="00416D00"/>
    <w:rsid w:val="00420BD6"/>
    <w:rsid w:val="0043017A"/>
    <w:rsid w:val="00435496"/>
    <w:rsid w:val="004374C9"/>
    <w:rsid w:val="0045235E"/>
    <w:rsid w:val="004528AE"/>
    <w:rsid w:val="0046797B"/>
    <w:rsid w:val="00471B10"/>
    <w:rsid w:val="0047384F"/>
    <w:rsid w:val="00482E64"/>
    <w:rsid w:val="004A6996"/>
    <w:rsid w:val="004B3178"/>
    <w:rsid w:val="004B42C8"/>
    <w:rsid w:val="004C4264"/>
    <w:rsid w:val="004C720C"/>
    <w:rsid w:val="004E62E9"/>
    <w:rsid w:val="004F127E"/>
    <w:rsid w:val="004F5611"/>
    <w:rsid w:val="005144DB"/>
    <w:rsid w:val="0052457C"/>
    <w:rsid w:val="00525C0A"/>
    <w:rsid w:val="00527A79"/>
    <w:rsid w:val="00535D93"/>
    <w:rsid w:val="0054198C"/>
    <w:rsid w:val="00545029"/>
    <w:rsid w:val="00546E98"/>
    <w:rsid w:val="00550337"/>
    <w:rsid w:val="00550E0B"/>
    <w:rsid w:val="005832CD"/>
    <w:rsid w:val="00596B74"/>
    <w:rsid w:val="00597C76"/>
    <w:rsid w:val="005A3ABC"/>
    <w:rsid w:val="005A65A0"/>
    <w:rsid w:val="005C075E"/>
    <w:rsid w:val="005C68C5"/>
    <w:rsid w:val="005D5269"/>
    <w:rsid w:val="005F0383"/>
    <w:rsid w:val="005F1E64"/>
    <w:rsid w:val="005F77D7"/>
    <w:rsid w:val="006027DD"/>
    <w:rsid w:val="00605DFA"/>
    <w:rsid w:val="00607F84"/>
    <w:rsid w:val="00613A5E"/>
    <w:rsid w:val="0062059F"/>
    <w:rsid w:val="006224D5"/>
    <w:rsid w:val="00631D70"/>
    <w:rsid w:val="0063363D"/>
    <w:rsid w:val="00633829"/>
    <w:rsid w:val="00646ED1"/>
    <w:rsid w:val="00647379"/>
    <w:rsid w:val="00647A5E"/>
    <w:rsid w:val="006526A0"/>
    <w:rsid w:val="006577E8"/>
    <w:rsid w:val="006623BF"/>
    <w:rsid w:val="00666ABD"/>
    <w:rsid w:val="00667E8A"/>
    <w:rsid w:val="006B0765"/>
    <w:rsid w:val="006C24A6"/>
    <w:rsid w:val="006C7073"/>
    <w:rsid w:val="006D77FB"/>
    <w:rsid w:val="006E706F"/>
    <w:rsid w:val="006F16BD"/>
    <w:rsid w:val="006F34E5"/>
    <w:rsid w:val="006F6A4F"/>
    <w:rsid w:val="006F72D0"/>
    <w:rsid w:val="00710021"/>
    <w:rsid w:val="007251EE"/>
    <w:rsid w:val="007255F7"/>
    <w:rsid w:val="00735676"/>
    <w:rsid w:val="00737061"/>
    <w:rsid w:val="00750104"/>
    <w:rsid w:val="00755EB7"/>
    <w:rsid w:val="00771393"/>
    <w:rsid w:val="00774F1C"/>
    <w:rsid w:val="00774F46"/>
    <w:rsid w:val="007765FB"/>
    <w:rsid w:val="0078015E"/>
    <w:rsid w:val="00780A38"/>
    <w:rsid w:val="00785083"/>
    <w:rsid w:val="00794445"/>
    <w:rsid w:val="007A6539"/>
    <w:rsid w:val="007A7FE5"/>
    <w:rsid w:val="007C668F"/>
    <w:rsid w:val="007D5B00"/>
    <w:rsid w:val="007E2726"/>
    <w:rsid w:val="007F03AB"/>
    <w:rsid w:val="00802C13"/>
    <w:rsid w:val="0081227E"/>
    <w:rsid w:val="00820DD8"/>
    <w:rsid w:val="00827CC0"/>
    <w:rsid w:val="00837244"/>
    <w:rsid w:val="0084192C"/>
    <w:rsid w:val="00846742"/>
    <w:rsid w:val="00877043"/>
    <w:rsid w:val="0088376F"/>
    <w:rsid w:val="00884BE6"/>
    <w:rsid w:val="008A3BE2"/>
    <w:rsid w:val="008A5E94"/>
    <w:rsid w:val="008C32E9"/>
    <w:rsid w:val="008C389A"/>
    <w:rsid w:val="008C3C88"/>
    <w:rsid w:val="008D277A"/>
    <w:rsid w:val="008D499E"/>
    <w:rsid w:val="008E144A"/>
    <w:rsid w:val="008E1A94"/>
    <w:rsid w:val="0090434D"/>
    <w:rsid w:val="0090693D"/>
    <w:rsid w:val="00913088"/>
    <w:rsid w:val="0092432C"/>
    <w:rsid w:val="0092716E"/>
    <w:rsid w:val="00947071"/>
    <w:rsid w:val="00950C23"/>
    <w:rsid w:val="00951F87"/>
    <w:rsid w:val="00965370"/>
    <w:rsid w:val="009702F1"/>
    <w:rsid w:val="00975EF3"/>
    <w:rsid w:val="00982399"/>
    <w:rsid w:val="0098617A"/>
    <w:rsid w:val="00990852"/>
    <w:rsid w:val="009960F7"/>
    <w:rsid w:val="009A0356"/>
    <w:rsid w:val="009A2FB2"/>
    <w:rsid w:val="009B0B3E"/>
    <w:rsid w:val="009B3540"/>
    <w:rsid w:val="009B3AC0"/>
    <w:rsid w:val="009C6F1C"/>
    <w:rsid w:val="009F228A"/>
    <w:rsid w:val="009F28A7"/>
    <w:rsid w:val="00A025EB"/>
    <w:rsid w:val="00A0378C"/>
    <w:rsid w:val="00A04D30"/>
    <w:rsid w:val="00A05799"/>
    <w:rsid w:val="00A125AC"/>
    <w:rsid w:val="00A170B1"/>
    <w:rsid w:val="00A340BC"/>
    <w:rsid w:val="00A45916"/>
    <w:rsid w:val="00A51E1A"/>
    <w:rsid w:val="00A7240E"/>
    <w:rsid w:val="00A809AF"/>
    <w:rsid w:val="00A85610"/>
    <w:rsid w:val="00A87402"/>
    <w:rsid w:val="00AA3EE6"/>
    <w:rsid w:val="00AA69B2"/>
    <w:rsid w:val="00AC2F4F"/>
    <w:rsid w:val="00AD46A8"/>
    <w:rsid w:val="00AE286A"/>
    <w:rsid w:val="00AE553A"/>
    <w:rsid w:val="00AF1F2A"/>
    <w:rsid w:val="00B0417B"/>
    <w:rsid w:val="00B2190B"/>
    <w:rsid w:val="00B242AA"/>
    <w:rsid w:val="00B57F4B"/>
    <w:rsid w:val="00B60B61"/>
    <w:rsid w:val="00B64F27"/>
    <w:rsid w:val="00B671E5"/>
    <w:rsid w:val="00B753C5"/>
    <w:rsid w:val="00B92E36"/>
    <w:rsid w:val="00BA7814"/>
    <w:rsid w:val="00BB1D27"/>
    <w:rsid w:val="00BC3722"/>
    <w:rsid w:val="00BD44F1"/>
    <w:rsid w:val="00BE2779"/>
    <w:rsid w:val="00BE449A"/>
    <w:rsid w:val="00BF29FE"/>
    <w:rsid w:val="00BF4624"/>
    <w:rsid w:val="00BF69E5"/>
    <w:rsid w:val="00BF731D"/>
    <w:rsid w:val="00C12A09"/>
    <w:rsid w:val="00C150AE"/>
    <w:rsid w:val="00C31BCF"/>
    <w:rsid w:val="00C32E3C"/>
    <w:rsid w:val="00C40909"/>
    <w:rsid w:val="00C50129"/>
    <w:rsid w:val="00C504C4"/>
    <w:rsid w:val="00C7079E"/>
    <w:rsid w:val="00C75079"/>
    <w:rsid w:val="00C90299"/>
    <w:rsid w:val="00C92E3E"/>
    <w:rsid w:val="00CB4185"/>
    <w:rsid w:val="00CE7862"/>
    <w:rsid w:val="00CF22F1"/>
    <w:rsid w:val="00D013E6"/>
    <w:rsid w:val="00D02C7A"/>
    <w:rsid w:val="00D1483C"/>
    <w:rsid w:val="00D15181"/>
    <w:rsid w:val="00D179CD"/>
    <w:rsid w:val="00D24568"/>
    <w:rsid w:val="00D35F0E"/>
    <w:rsid w:val="00D45B58"/>
    <w:rsid w:val="00D51506"/>
    <w:rsid w:val="00D54C07"/>
    <w:rsid w:val="00D91262"/>
    <w:rsid w:val="00DB189A"/>
    <w:rsid w:val="00DB6395"/>
    <w:rsid w:val="00DC03EA"/>
    <w:rsid w:val="00DC6C8A"/>
    <w:rsid w:val="00DD5072"/>
    <w:rsid w:val="00DE156A"/>
    <w:rsid w:val="00DE5E3B"/>
    <w:rsid w:val="00DF5773"/>
    <w:rsid w:val="00E10886"/>
    <w:rsid w:val="00E14A3B"/>
    <w:rsid w:val="00E16B9A"/>
    <w:rsid w:val="00E2738A"/>
    <w:rsid w:val="00E425D2"/>
    <w:rsid w:val="00E5171E"/>
    <w:rsid w:val="00E635A1"/>
    <w:rsid w:val="00E64657"/>
    <w:rsid w:val="00E66961"/>
    <w:rsid w:val="00E72980"/>
    <w:rsid w:val="00E74597"/>
    <w:rsid w:val="00EA3870"/>
    <w:rsid w:val="00EB110E"/>
    <w:rsid w:val="00EB1328"/>
    <w:rsid w:val="00EC54BD"/>
    <w:rsid w:val="00EC644C"/>
    <w:rsid w:val="00ED4FA4"/>
    <w:rsid w:val="00ED5AA8"/>
    <w:rsid w:val="00EE7B92"/>
    <w:rsid w:val="00EF1A68"/>
    <w:rsid w:val="00EF1F84"/>
    <w:rsid w:val="00EF4F12"/>
    <w:rsid w:val="00F013A0"/>
    <w:rsid w:val="00F03A2A"/>
    <w:rsid w:val="00F06965"/>
    <w:rsid w:val="00F17A2C"/>
    <w:rsid w:val="00F24370"/>
    <w:rsid w:val="00F3593F"/>
    <w:rsid w:val="00F429A8"/>
    <w:rsid w:val="00F50AD4"/>
    <w:rsid w:val="00F54833"/>
    <w:rsid w:val="00F564ED"/>
    <w:rsid w:val="00F71FBF"/>
    <w:rsid w:val="00F7323F"/>
    <w:rsid w:val="00F75610"/>
    <w:rsid w:val="00F76F31"/>
    <w:rsid w:val="00F91D10"/>
    <w:rsid w:val="00FB5492"/>
    <w:rsid w:val="00FB570C"/>
    <w:rsid w:val="00FC4660"/>
    <w:rsid w:val="00FC52BE"/>
    <w:rsid w:val="00FD7A34"/>
    <w:rsid w:val="00FE34C4"/>
    <w:rsid w:val="00FE6381"/>
    <w:rsid w:val="00FF16D0"/>
    <w:rsid w:val="00FF1DC7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CCCFB"/>
  <w15:docId w15:val="{8D33A2C0-5685-4787-8F6D-FD4DEFFB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wissReSans" w:eastAsiaTheme="minorEastAsia" w:hAnsi="SwissReSans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8C1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354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015524"/>
    <w:pPr>
      <w:outlineLvl w:val="1"/>
    </w:pPr>
    <w:rPr>
      <w:b w:val="0"/>
      <w:bCs w:val="0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D02C7A"/>
    <w:pPr>
      <w:outlineLvl w:val="2"/>
    </w:pPr>
    <w:rPr>
      <w:b/>
      <w:bCs/>
      <w:sz w:val="26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rsid w:val="00D02C7A"/>
    <w:pPr>
      <w:outlineLvl w:val="3"/>
    </w:pPr>
    <w:rPr>
      <w:b w:val="0"/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unhideWhenUsed/>
    <w:rsid w:val="0036723A"/>
    <w:pPr>
      <w:outlineLvl w:val="4"/>
    </w:pPr>
    <w:rPr>
      <w:b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rsid w:val="00D02C7A"/>
    <w:pPr>
      <w:outlineLvl w:val="5"/>
    </w:pPr>
    <w:rPr>
      <w:b w:val="0"/>
      <w:i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rsid w:val="00D02C7A"/>
    <w:pPr>
      <w:outlineLvl w:val="6"/>
    </w:pPr>
    <w:rPr>
      <w:i w:val="0"/>
      <w:iCs/>
      <w:color w:val="404040" w:themeColor="text1" w:themeTint="BF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rsid w:val="0036723A"/>
    <w:pPr>
      <w:outlineLvl w:val="7"/>
    </w:pPr>
    <w:rPr>
      <w:color w:val="auto"/>
      <w:sz w:val="22"/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unhideWhenUsed/>
    <w:rsid w:val="0036723A"/>
    <w:pPr>
      <w:outlineLvl w:val="8"/>
    </w:pPr>
    <w:rPr>
      <w:i/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35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524"/>
    <w:rPr>
      <w:rFonts w:eastAsiaTheme="majorEastAsia" w:cstheme="majorBidi"/>
      <w:sz w:val="32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rsid w:val="0088376F"/>
    <w:pPr>
      <w:spacing w:before="480" w:after="0"/>
      <w:outlineLvl w:val="9"/>
    </w:pPr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02C7A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C7A"/>
    <w:rPr>
      <w:rFonts w:eastAsiaTheme="majorEastAsia" w:cstheme="majorBidi"/>
      <w:i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23A"/>
    <w:rPr>
      <w:rFonts w:eastAsiaTheme="majorEastAsia" w:cstheme="majorBidi"/>
      <w:b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C7A"/>
    <w:rPr>
      <w:rFonts w:eastAsiaTheme="majorEastAsia" w:cstheme="majorBidi"/>
      <w:i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C7A"/>
    <w:rPr>
      <w:rFonts w:eastAsiaTheme="majorEastAsia" w:cstheme="majorBidi"/>
      <w:iCs/>
      <w:color w:val="404040" w:themeColor="text1" w:themeTint="BF"/>
      <w:sz w:val="24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23A"/>
    <w:rPr>
      <w:rFonts w:eastAsiaTheme="majorEastAsia" w:cstheme="majorBidi"/>
      <w:i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23A"/>
    <w:rPr>
      <w:rFonts w:eastAsiaTheme="majorEastAsia" w:cstheme="majorBidi"/>
      <w:i/>
      <w:szCs w:val="20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044EE1"/>
    <w:pPr>
      <w:contextualSpacing/>
    </w:pPr>
    <w:rPr>
      <w:rFonts w:eastAsiaTheme="majorEastAsia" w:cstheme="majorBidi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71B10"/>
    <w:rPr>
      <w:rFonts w:eastAsiaTheme="majorEastAsia" w:cstheme="majorBidi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A3EE6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71B10"/>
    <w:rPr>
      <w:rFonts w:eastAsiaTheme="majorEastAsia" w:cstheme="majorBidi"/>
      <w:b/>
      <w:iCs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rsid w:val="00975EF3"/>
    <w:rPr>
      <w:i/>
      <w:iCs/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310771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44EE1"/>
    <w:pP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44EE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044EE1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rsid w:val="00044EE1"/>
    <w:rPr>
      <w:b/>
      <w:bCs/>
      <w:smallCaps/>
      <w:color w:val="auto"/>
      <w:spacing w:val="5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A5E94"/>
    <w:rPr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semiHidden/>
    <w:unhideWhenUsed/>
    <w:rsid w:val="008A5E94"/>
    <w:pPr>
      <w:spacing w:after="200"/>
    </w:pPr>
    <w:rPr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A69B2"/>
    <w:rPr>
      <w:rFonts w:ascii="Arial" w:hAnsi="Arial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69B2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69B2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1A36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3632"/>
  </w:style>
  <w:style w:type="paragraph" w:styleId="Footer">
    <w:name w:val="footer"/>
    <w:basedOn w:val="Normal"/>
    <w:link w:val="FooterChar"/>
    <w:uiPriority w:val="99"/>
    <w:unhideWhenUsed/>
    <w:rsid w:val="001A36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3632"/>
  </w:style>
  <w:style w:type="table" w:styleId="TableGrid">
    <w:name w:val="Table Grid"/>
    <w:basedOn w:val="TableNormal"/>
    <w:uiPriority w:val="59"/>
    <w:rsid w:val="00550E0B"/>
    <w:tblPr/>
  </w:style>
  <w:style w:type="character" w:styleId="PlaceholderText">
    <w:name w:val="Placeholder Text"/>
    <w:basedOn w:val="DefaultParagraphFont"/>
    <w:uiPriority w:val="99"/>
    <w:semiHidden/>
    <w:rsid w:val="00027C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CF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3AC0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3AC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3AC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AC0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3064">
                  <w:marLeft w:val="0"/>
                  <w:marRight w:val="0"/>
                  <w:marTop w:val="0"/>
                  <w:marBottom w:val="0"/>
                  <w:divBdr>
                    <w:top w:val="single" w:sz="6" w:space="4" w:color="E0E0E0"/>
                    <w:left w:val="single" w:sz="6" w:space="0" w:color="E0E0E0"/>
                    <w:bottom w:val="single" w:sz="6" w:space="8" w:color="E0E0E0"/>
                    <w:right w:val="single" w:sz="6" w:space="0" w:color="E0E0E0"/>
                  </w:divBdr>
                  <w:divsChild>
                    <w:div w:id="32193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Brandic\Word\Templates\Base.dotx" TargetMode="External"/></Relationships>
</file>

<file path=word/theme/theme1.xml><?xml version="1.0" encoding="utf-8"?>
<a:theme xmlns:a="http://schemas.openxmlformats.org/drawingml/2006/main" name="Office Theme">
  <a:themeElements>
    <a:clrScheme name="SR Excel">
      <a:dk1>
        <a:srgbClr val="000000"/>
      </a:dk1>
      <a:lt1>
        <a:sysClr val="window" lastClr="FFFFFF"/>
      </a:lt1>
      <a:dk2>
        <a:srgbClr val="455F55"/>
      </a:dk2>
      <a:lt2>
        <a:srgbClr val="D8DFDD"/>
      </a:lt2>
      <a:accent1>
        <a:srgbClr val="627D77"/>
      </a:accent1>
      <a:accent2>
        <a:srgbClr val="899E99"/>
      </a:accent2>
      <a:accent3>
        <a:srgbClr val="E84067"/>
      </a:accent3>
      <a:accent4>
        <a:srgbClr val="984CAD"/>
      </a:accent4>
      <a:accent5>
        <a:srgbClr val="4B7ACD"/>
      </a:accent5>
      <a:accent6>
        <a:srgbClr val="409B67"/>
      </a:accent6>
      <a:hlink>
        <a:srgbClr val="0000FF"/>
      </a:hlink>
      <a:folHlink>
        <a:srgbClr val="800080"/>
      </a:folHlink>
    </a:clrScheme>
    <a:fontScheme name="Swiss Re">
      <a:majorFont>
        <a:latin typeface="SwissReSans Light"/>
        <a:ea typeface=""/>
        <a:cs typeface=""/>
      </a:majorFont>
      <a:minorFont>
        <a:latin typeface="SwissRe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DAB27C445DE41B8069B21D8E2193F" ma:contentTypeVersion="1" ma:contentTypeDescription="Create a new document." ma:contentTypeScope="" ma:versionID="cac17f6a8d98791e77e80cebdead1857">
  <xsd:schema xmlns:xsd="http://www.w3.org/2001/XMLSchema" xmlns:xs="http://www.w3.org/2001/XMLSchema" xmlns:p="http://schemas.microsoft.com/office/2006/metadata/properties" xmlns:ns2="d6b3294d-d0ac-402f-8738-58b01d6ec124" xmlns:ns3="5f862409-672a-4a62-8503-9a43510b2352" targetNamespace="http://schemas.microsoft.com/office/2006/metadata/properties" ma:root="true" ma:fieldsID="29db3fc01f2884865ee42210db011982" ns2:_="" ns3:_="">
    <xsd:import namespace="d6b3294d-d0ac-402f-8738-58b01d6ec124"/>
    <xsd:import namespace="5f862409-672a-4a62-8503-9a43510b23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3294d-d0ac-402f-8738-58b01d6ec12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62409-672a-4a62-8503-9a43510b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6b3294d-d0ac-402f-8738-58b01d6ec124">CCC@c724a775-9f61-49cd-8162-719ccfbef719</_dlc_DocId>
    <_dlc_DocIdUrl xmlns="d6b3294d-d0ac-402f-8738-58b01d6ec124">
      <Url>https://atticus.swissre.com/sites/ReinsuranceAsia/_layouts/15/DocIdRedir.aspx?ID=CCC%40c724a775-9f61-49cd-8162-719ccfbef719</Url>
      <Description>CCC@c724a775-9f61-49cd-8162-719ccfbef719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53D50-6DA7-401E-963C-2AF630A4A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B0428-00ED-424E-8822-FD8CDE37E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3294d-d0ac-402f-8738-58b01d6ec124"/>
    <ds:schemaRef ds:uri="5f862409-672a-4a62-8503-9a43510b2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4DBD16-FD68-402F-A802-71677F44E526}">
  <ds:schemaRefs>
    <ds:schemaRef ds:uri="http://schemas.microsoft.com/office/2006/metadata/properties"/>
    <ds:schemaRef ds:uri="http://schemas.microsoft.com/office/infopath/2007/PartnerControls"/>
    <ds:schemaRef ds:uri="d6b3294d-d0ac-402f-8738-58b01d6ec124"/>
  </ds:schemaRefs>
</ds:datastoreItem>
</file>

<file path=customXml/itemProps4.xml><?xml version="1.0" encoding="utf-8"?>
<ds:datastoreItem xmlns:ds="http://schemas.openxmlformats.org/officeDocument/2006/customXml" ds:itemID="{D7E90631-7711-447D-BC49-AC48F083E2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6C638C6-ECA1-469B-B332-BD3239E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Base</Template>
  <TotalTime>105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Wang</dc:creator>
  <cp:lastModifiedBy>Alex Chen</cp:lastModifiedBy>
  <cp:revision>12</cp:revision>
  <cp:lastPrinted>2010-03-17T10:14:00Z</cp:lastPrinted>
  <dcterms:created xsi:type="dcterms:W3CDTF">2018-12-24T03:35:00Z</dcterms:created>
  <dcterms:modified xsi:type="dcterms:W3CDTF">2018-12-25T09:49:00Z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andicID">
    <vt:lpwstr>SR</vt:lpwstr>
  </property>
  <property fmtid="{D5CDD505-2E9C-101B-9397-08002B2CF9AE}" pid="3" name="DocTypeID">
    <vt:i4>0</vt:i4>
  </property>
  <property fmtid="{D5CDD505-2E9C-101B-9397-08002B2CF9AE}" pid="4" name="TemplateVersion">
    <vt:i4>1000</vt:i4>
  </property>
  <property fmtid="{D5CDD505-2E9C-101B-9397-08002B2CF9AE}" pid="5" name="Language">
    <vt:i4>1033</vt:i4>
  </property>
  <property fmtid="{D5CDD505-2E9C-101B-9397-08002B2CF9AE}" pid="6" name="ContentTypeId">
    <vt:lpwstr>0x010100FD5DAB27C445DE41B8069B21D8E2193F</vt:lpwstr>
  </property>
  <property fmtid="{D5CDD505-2E9C-101B-9397-08002B2CF9AE}" pid="7" name="_dlc_DocIdItemGuid">
    <vt:lpwstr>c724a775-9f61-49cd-8162-719ccfbef719</vt:lpwstr>
  </property>
</Properties>
</file>